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25EFADAE"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9E315B">
        <w:rPr>
          <w:rFonts w:cs="Arial"/>
          <w:bCs/>
          <w:noProof w:val="0"/>
          <w:sz w:val="24"/>
          <w:szCs w:val="24"/>
        </w:rPr>
        <w:t>9</w:t>
      </w:r>
      <w:r w:rsidR="002C1220" w:rsidRPr="000665EA">
        <w:rPr>
          <w:rFonts w:cs="Arial"/>
          <w:bCs/>
          <w:noProof w:val="0"/>
          <w:sz w:val="24"/>
          <w:szCs w:val="24"/>
        </w:rPr>
        <w:tab/>
        <w:t>R3-</w:t>
      </w:r>
      <w:r w:rsidR="00FA4A45" w:rsidRPr="000665EA">
        <w:rPr>
          <w:rFonts w:cs="Arial"/>
          <w:bCs/>
          <w:noProof w:val="0"/>
          <w:sz w:val="24"/>
          <w:szCs w:val="24"/>
        </w:rPr>
        <w:t>2</w:t>
      </w:r>
      <w:r w:rsidR="009E315B">
        <w:rPr>
          <w:rFonts w:cs="Arial"/>
          <w:bCs/>
          <w:noProof w:val="0"/>
          <w:sz w:val="24"/>
          <w:szCs w:val="24"/>
        </w:rPr>
        <w:t>3</w:t>
      </w:r>
      <w:r w:rsidR="00242E7A">
        <w:rPr>
          <w:rFonts w:cs="Arial"/>
          <w:bCs/>
          <w:noProof w:val="0"/>
          <w:sz w:val="24"/>
          <w:szCs w:val="24"/>
        </w:rPr>
        <w:t>0127</w:t>
      </w:r>
    </w:p>
    <w:bookmarkEnd w:id="0"/>
    <w:p w14:paraId="5669B020" w14:textId="246AC2C1" w:rsidR="004C654E" w:rsidRPr="000665EA" w:rsidRDefault="009E315B" w:rsidP="004C654E">
      <w:pPr>
        <w:pStyle w:val="Header"/>
        <w:tabs>
          <w:tab w:val="left" w:pos="2410"/>
        </w:tabs>
        <w:rPr>
          <w:rFonts w:eastAsia="MS Mincho" w:cs="Arial"/>
          <w:sz w:val="24"/>
          <w:szCs w:val="24"/>
        </w:rPr>
      </w:pPr>
      <w:r>
        <w:rPr>
          <w:rFonts w:eastAsia="MS Mincho" w:cs="Arial"/>
          <w:sz w:val="24"/>
          <w:szCs w:val="24"/>
        </w:rPr>
        <w:t>Athens, Greece</w:t>
      </w:r>
      <w:r w:rsidR="002F12C7">
        <w:rPr>
          <w:rFonts w:eastAsia="MS Mincho" w:cs="Arial"/>
          <w:sz w:val="24"/>
          <w:szCs w:val="24"/>
        </w:rPr>
        <w:t>, EU</w:t>
      </w:r>
      <w:r w:rsidR="00FC5FE8" w:rsidRPr="000665EA">
        <w:rPr>
          <w:rFonts w:eastAsia="MS Mincho" w:cs="Arial"/>
          <w:sz w:val="24"/>
          <w:szCs w:val="24"/>
        </w:rPr>
        <w:t xml:space="preserve">, </w:t>
      </w:r>
      <w:r>
        <w:rPr>
          <w:rFonts w:eastAsia="MS Mincho" w:cs="Arial"/>
          <w:sz w:val="24"/>
          <w:szCs w:val="24"/>
        </w:rPr>
        <w:t>27 Feb</w:t>
      </w:r>
      <w:r w:rsidR="00DD4A4E">
        <w:rPr>
          <w:rFonts w:eastAsia="MS Mincho" w:cs="Arial"/>
          <w:sz w:val="24"/>
          <w:szCs w:val="24"/>
        </w:rPr>
        <w:t xml:space="preserve"> – </w:t>
      </w:r>
      <w:r>
        <w:rPr>
          <w:rFonts w:eastAsia="MS Mincho" w:cs="Arial"/>
          <w:sz w:val="24"/>
          <w:szCs w:val="24"/>
        </w:rPr>
        <w:t>3</w:t>
      </w:r>
      <w:r w:rsidR="00DD4A4E">
        <w:rPr>
          <w:rFonts w:eastAsia="MS Mincho" w:cs="Arial"/>
          <w:sz w:val="24"/>
          <w:szCs w:val="24"/>
        </w:rPr>
        <w:t xml:space="preserve"> </w:t>
      </w:r>
      <w:r>
        <w:rPr>
          <w:rFonts w:eastAsia="MS Mincho" w:cs="Arial"/>
          <w:sz w:val="24"/>
          <w:szCs w:val="24"/>
        </w:rPr>
        <w:t>Mar</w:t>
      </w:r>
      <w:r w:rsidR="005F10C3" w:rsidRPr="000665EA">
        <w:rPr>
          <w:rFonts w:eastAsia="MS Mincho" w:cs="Arial"/>
          <w:sz w:val="24"/>
          <w:szCs w:val="24"/>
        </w:rPr>
        <w:t xml:space="preserve"> 20</w:t>
      </w:r>
      <w:r w:rsidR="00FA4A45" w:rsidRPr="000665EA">
        <w:rPr>
          <w:rFonts w:eastAsia="MS Mincho" w:cs="Arial"/>
          <w:sz w:val="24"/>
          <w:szCs w:val="24"/>
        </w:rPr>
        <w:t>2</w:t>
      </w:r>
      <w:r>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305F523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939E1">
        <w:rPr>
          <w:rFonts w:cs="Arial"/>
          <w:b/>
          <w:bCs/>
          <w:sz w:val="24"/>
        </w:rPr>
        <w:t>14.4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5032C17E"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939E1">
        <w:rPr>
          <w:rFonts w:ascii="Arial" w:hAnsi="Arial" w:cs="Arial"/>
          <w:b/>
          <w:bCs/>
          <w:sz w:val="24"/>
        </w:rPr>
        <w:t>Source-node- and UPF-based data forwarding</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27DC892D" w14:textId="4DA9567B" w:rsidR="004B0A93" w:rsidRDefault="002939E1" w:rsidP="008572DC">
      <w:bookmarkStart w:id="1" w:name="_Toc474247438"/>
      <w:r>
        <w:t xml:space="preserve">At the RAN3 #117-bis meeting, several scenarios for Selective Activation were discussed, but not much actual progress achieved. </w:t>
      </w:r>
      <w:r w:rsidR="004B0A93">
        <w:t>However, it was agreed that direct data forwarding may be beneficial also for Selective Activation:</w:t>
      </w:r>
    </w:p>
    <w:p w14:paraId="2E14A417" w14:textId="77777777" w:rsidR="004B0A93" w:rsidRPr="005C0A62" w:rsidRDefault="004B0A93" w:rsidP="004B0A93">
      <w:pPr>
        <w:rPr>
          <w:rFonts w:ascii="Calibri" w:hAnsi="Calibri" w:cs="Calibri"/>
          <w:b/>
          <w:bCs/>
          <w:color w:val="008000"/>
          <w:sz w:val="18"/>
        </w:rPr>
      </w:pPr>
      <w:r w:rsidRPr="005C0A62">
        <w:rPr>
          <w:rFonts w:ascii="Calibri" w:hAnsi="Calibri" w:cs="Calibri"/>
          <w:b/>
          <w:bCs/>
          <w:color w:val="008000"/>
          <w:sz w:val="18"/>
        </w:rPr>
        <w:t>WA: RAN3 will work to enable both indirect and direct early data forwarding in Selective Activation. At this moment, RAN3 does not foresee any scenarios where direct forwarding is not feasible/desired.</w:t>
      </w:r>
    </w:p>
    <w:p w14:paraId="4CAD8B08" w14:textId="2EBE1A91" w:rsidR="005E3D0F" w:rsidRDefault="002939E1" w:rsidP="008572DC">
      <w:r>
        <w:t xml:space="preserve">One of the proposals made </w:t>
      </w:r>
      <w:r w:rsidR="004B0A93">
        <w:t xml:space="preserve">at the meeting </w:t>
      </w:r>
      <w:r>
        <w:t xml:space="preserve">concerned </w:t>
      </w:r>
      <w:r w:rsidR="004B0A93">
        <w:t xml:space="preserve">exactly the </w:t>
      </w:r>
      <w:r>
        <w:t>early data forwarding: should it be based on the currently serving node (source-node-based data forwarding), or originated directly from the UPF to all relevant target nodes (UPF-based data forwarding)</w:t>
      </w:r>
      <w:r w:rsidR="004B0A93">
        <w:t>?</w:t>
      </w:r>
      <w:r>
        <w:t xml:space="preserve"> In this paper, we present further details of both solutions, so that decision can be made.</w:t>
      </w:r>
    </w:p>
    <w:p w14:paraId="4E0DE5D8" w14:textId="47137CD6" w:rsidR="009E315B" w:rsidRPr="000665EA" w:rsidRDefault="009E315B" w:rsidP="008572DC">
      <w:r>
        <w:t>This paper was originally submitted to RAN3 #118, but not opened.</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160985AE" w:rsidR="008559D6" w:rsidRDefault="004B0A93" w:rsidP="008559D6">
      <w:r>
        <w:t xml:space="preserve">At </w:t>
      </w:r>
      <w:r w:rsidR="001D088E">
        <w:t>RAN3 #117-bis, two solutions were sketched for early data forwarding in Selective Activation:</w:t>
      </w:r>
    </w:p>
    <w:p w14:paraId="065A1FC8" w14:textId="3EF99E16" w:rsidR="001D088E" w:rsidRDefault="001D088E" w:rsidP="008559D6">
      <w:r>
        <w:t>Source-node-based data forwarding: the new source node continue data forwarding started in another node.</w:t>
      </w:r>
    </w:p>
    <w:p w14:paraId="7812C240" w14:textId="4CD2BBBB" w:rsidR="001D088E" w:rsidRDefault="001D088E" w:rsidP="008559D6">
      <w:r>
        <w:t>UPF-based data forwarding: the UPF is informed about each prepared node and the data is constantly transmit there. When the serving PSCell is switched, the new serving node starts pushing the data to the UE, but data forwarding does not need to be restarted.</w:t>
      </w:r>
    </w:p>
    <w:p w14:paraId="54B00120" w14:textId="5194EA0B" w:rsidR="001D088E" w:rsidRPr="00A33490" w:rsidRDefault="00A33490" w:rsidP="00A33490">
      <w:pPr>
        <w:pStyle w:val="Heading2"/>
      </w:pPr>
      <w:r>
        <w:t>2.1</w:t>
      </w:r>
      <w:r>
        <w:tab/>
      </w:r>
      <w:r w:rsidR="0032275C" w:rsidRPr="00A33490">
        <w:t>Source-node-based data forwarding</w:t>
      </w:r>
    </w:p>
    <w:p w14:paraId="5D12AA9D" w14:textId="3BF7828B" w:rsidR="00A33490" w:rsidRDefault="00A33490" w:rsidP="00122DC8">
      <w:r>
        <w:t xml:space="preserve">In a classic data forwarding scheme, the possible target allocates TEIDs for bearers it may be hosting in future and starts receiving data with sequence numbers assigned. This forwarding stops once the cell change is executed. In case of Selective activation, data forwarding may continue from the new source node. Therefore, the </w:t>
      </w:r>
      <w:r w:rsidR="00FF4ACC">
        <w:t xml:space="preserve">MN </w:t>
      </w:r>
      <w:r w:rsidR="00122DC8">
        <w:t xml:space="preserve">must </w:t>
      </w:r>
      <w:r w:rsidR="00FF4ACC">
        <w:t>inform each prepared SN about the bearer setup and TEIDs in all prepared SNs. This may happen e.g. after each new target is prepared or released.</w:t>
      </w:r>
    </w:p>
    <w:p w14:paraId="13AAC0C2" w14:textId="53181779" w:rsidR="00FF4ACC" w:rsidRPr="00582606" w:rsidRDefault="00122DC8" w:rsidP="008559D6">
      <w:pPr>
        <w:rPr>
          <w:b/>
          <w:bCs/>
        </w:rPr>
      </w:pPr>
      <w:r w:rsidRPr="00582606">
        <w:rPr>
          <w:b/>
          <w:bCs/>
        </w:rPr>
        <w:t>Observations 2-1: For the source-node-based data forwarding, the MN must keep all the prepared SNs updated in regard to the bearer setups and TEIDs of all other prepared SNs, so that once serving SN changes, early data forwarding may continue.</w:t>
      </w:r>
    </w:p>
    <w:p w14:paraId="5E497105" w14:textId="3915FE32" w:rsidR="00122DC8" w:rsidRDefault="00122DC8" w:rsidP="008559D6">
      <w:r>
        <w:t>An alternative is giving up direct data forwarding and assuming that the MN plays the role of an “anchor” for data forwarding. In this solution, all the prepared SNs are informed about a set of TEIDs at the MN, memorise them and use these to continue early data forwarding once the serving SN changes.</w:t>
      </w:r>
    </w:p>
    <w:p w14:paraId="6CFFBF4B" w14:textId="455DF449" w:rsidR="00B73BA1" w:rsidRPr="00B73BA1" w:rsidRDefault="00122DC8" w:rsidP="00670192">
      <w:pPr>
        <w:rPr>
          <w:b/>
          <w:bCs/>
        </w:rPr>
      </w:pPr>
      <w:r w:rsidRPr="00582606">
        <w:rPr>
          <w:b/>
          <w:bCs/>
        </w:rPr>
        <w:t>Observation 2-2: For the source-node-based data forwarding, indirect early data forwarding, where the MN plays the role of an “anchor”, may be simpler, because involved SNs must memorize only MN’s TEIDs.</w:t>
      </w:r>
    </w:p>
    <w:p w14:paraId="59C91AEC" w14:textId="07E55050" w:rsidR="00B73BA1" w:rsidRDefault="00B73BA1" w:rsidP="00670192">
      <w:r>
        <w:t>Since the UPF sends data only to the currently serving SN, after each SN change, the path must be switched at the UPF. If the changes are frequent, this may trigger quite some signalling load at the AMF/UPF.</w:t>
      </w:r>
    </w:p>
    <w:p w14:paraId="3B73CF1F" w14:textId="70A944FD" w:rsidR="00B73BA1" w:rsidRPr="00B73BA1" w:rsidRDefault="00B73BA1" w:rsidP="00B73BA1">
      <w:pPr>
        <w:rPr>
          <w:b/>
          <w:bCs/>
        </w:rPr>
      </w:pPr>
      <w:r w:rsidRPr="00582606">
        <w:rPr>
          <w:b/>
          <w:bCs/>
        </w:rPr>
        <w:lastRenderedPageBreak/>
        <w:t>Observation 2-</w:t>
      </w:r>
      <w:r>
        <w:rPr>
          <w:b/>
          <w:bCs/>
        </w:rPr>
        <w:t>3</w:t>
      </w:r>
      <w:r w:rsidRPr="00582606">
        <w:rPr>
          <w:b/>
          <w:bCs/>
        </w:rPr>
        <w:t xml:space="preserve">: For the source-node-based data forwarding, </w:t>
      </w:r>
      <w:r>
        <w:rPr>
          <w:b/>
          <w:bCs/>
        </w:rPr>
        <w:t>a classic path switch is needed, which may trigger quite some signalling load at the AMF/UPF, if the SN changes are frequent.</w:t>
      </w:r>
    </w:p>
    <w:p w14:paraId="64682001" w14:textId="76A91E87" w:rsidR="00670192" w:rsidRDefault="00670192" w:rsidP="00670192">
      <w:r>
        <w:t>Irrespectively of the approach</w:t>
      </w:r>
      <w:r w:rsidR="00D226D4">
        <w:t xml:space="preserve"> (direct or with the anchor node)</w:t>
      </w:r>
      <w:r>
        <w:t xml:space="preserve">, the </w:t>
      </w:r>
      <w:r w:rsidR="00530184">
        <w:t>MN forwards also the Early Status Transfer message so that data delivered at source may be discarded at the prepared SNs.</w:t>
      </w:r>
    </w:p>
    <w:p w14:paraId="0CF99DB7" w14:textId="4F71D672" w:rsidR="00122DC8" w:rsidRPr="00A33490" w:rsidRDefault="00122DC8" w:rsidP="00122DC8">
      <w:pPr>
        <w:pStyle w:val="Heading2"/>
      </w:pPr>
      <w:r>
        <w:t>2.2</w:t>
      </w:r>
      <w:r>
        <w:tab/>
      </w:r>
      <w:r w:rsidRPr="00122DC8">
        <w:t>UPF-based data forwarding</w:t>
      </w:r>
    </w:p>
    <w:p w14:paraId="6FDA5276" w14:textId="1C7580ED" w:rsidR="00B73BA1" w:rsidRDefault="00B73BA1" w:rsidP="008559D6">
      <w:r>
        <w:t xml:space="preserve">In this case, TEIDs still need to be allocated at the prepared SNs, but not for inter-SN data forwarding, but for data reception from the UPF. The UPF is then informed about each prepared target SN and transmits the same data to all prepared SNs in parallel. </w:t>
      </w:r>
    </w:p>
    <w:p w14:paraId="2D9A2D89" w14:textId="4017738A" w:rsidR="00B73BA1" w:rsidRPr="008C4005" w:rsidRDefault="00B73BA1" w:rsidP="008559D6">
      <w:pPr>
        <w:rPr>
          <w:b/>
          <w:bCs/>
        </w:rPr>
      </w:pPr>
      <w:r w:rsidRPr="008C4005">
        <w:rPr>
          <w:b/>
          <w:bCs/>
        </w:rPr>
        <w:t>Observation 2-1: For UPF-based data forwarding, the AMF/UPF must be aware of all prepared SNs and send data to all of them in parallel. Therefore, existing NGAP procedures must be enhanced, or new procedures defined to inform the AMF about prepared SNs.</w:t>
      </w:r>
    </w:p>
    <w:p w14:paraId="5EB8417C" w14:textId="35ECC990" w:rsidR="00B73BA1" w:rsidRDefault="00B73BA1" w:rsidP="008559D6">
      <w:r>
        <w:t>A special problem is discarding of the data delivered to the UE. In case NG-U PDU numbering can be assumed the same on all the paths, this can be based on informing all the prepared SNs about the NG-U PDU number that may be discarded. However, this means the SN hosting bearers must be able to match PDCP numbering to the NG-U numbering.</w:t>
      </w:r>
    </w:p>
    <w:p w14:paraId="57FD6058" w14:textId="621061D2" w:rsidR="007C3598" w:rsidRPr="008C4005" w:rsidRDefault="007C3598" w:rsidP="008559D6">
      <w:pPr>
        <w:rPr>
          <w:b/>
          <w:bCs/>
        </w:rPr>
      </w:pPr>
      <w:r w:rsidRPr="008C4005">
        <w:rPr>
          <w:b/>
          <w:bCs/>
        </w:rPr>
        <w:t xml:space="preserve">Observation 2-2: </w:t>
      </w:r>
      <w:r w:rsidR="008C4005">
        <w:rPr>
          <w:b/>
          <w:bCs/>
        </w:rPr>
        <w:t xml:space="preserve">For the </w:t>
      </w:r>
      <w:r w:rsidR="008C4005" w:rsidRPr="008C4005">
        <w:rPr>
          <w:b/>
          <w:bCs/>
        </w:rPr>
        <w:t>UPF-based data forwarding</w:t>
      </w:r>
      <w:r w:rsidR="008C4005">
        <w:rPr>
          <w:b/>
          <w:bCs/>
        </w:rPr>
        <w:t>, d</w:t>
      </w:r>
      <w:r w:rsidRPr="008C4005">
        <w:rPr>
          <w:b/>
          <w:bCs/>
        </w:rPr>
        <w:t>iscarding of data delivered at the serving SN requires more attention, because it may need to be based on NG-U PDU numbering, which may have to be matched to the PDCP numbering used in communication with the UE.</w:t>
      </w:r>
    </w:p>
    <w:p w14:paraId="5008042C" w14:textId="7EDA6010" w:rsidR="00122DC8" w:rsidRDefault="007C3598" w:rsidP="008559D6">
      <w:r>
        <w:t>In case that data is delivered in parallel to all the prepared SNs, the</w:t>
      </w:r>
      <w:r w:rsidR="00B73BA1">
        <w:t xml:space="preserve"> patch does not have to be switched at the SN change, but preparing or cancelling of an SN </w:t>
      </w:r>
      <w:r>
        <w:t xml:space="preserve">requires </w:t>
      </w:r>
      <w:r w:rsidR="00B73BA1">
        <w:t>that the UPF must be informed.</w:t>
      </w:r>
      <w:r>
        <w:t xml:space="preserve"> Therefore, the solution is beneficial when the group of prepared SNs changes less aften, which the serving SN is switched frequently.</w:t>
      </w:r>
    </w:p>
    <w:p w14:paraId="462D8F25" w14:textId="5096069F" w:rsidR="00B73BA1" w:rsidRPr="008C4005" w:rsidRDefault="00B73BA1" w:rsidP="008559D6">
      <w:pPr>
        <w:rPr>
          <w:b/>
          <w:bCs/>
        </w:rPr>
      </w:pPr>
      <w:r w:rsidRPr="008C4005">
        <w:rPr>
          <w:b/>
          <w:bCs/>
        </w:rPr>
        <w:t>Observation 2-</w:t>
      </w:r>
      <w:r w:rsidR="007C3598" w:rsidRPr="008C4005">
        <w:rPr>
          <w:b/>
          <w:bCs/>
        </w:rPr>
        <w:t>3</w:t>
      </w:r>
      <w:r w:rsidRPr="008C4005">
        <w:rPr>
          <w:b/>
          <w:bCs/>
        </w:rPr>
        <w:t xml:space="preserve">: For the UPF-based data forwarding, the UPF does not have to switch path after each SN change, but it must be informed about a new SN prepared or SN released. Thus, it may cause burden at the AMF/UPF if the </w:t>
      </w:r>
      <w:r w:rsidR="007C3598" w:rsidRPr="008C4005">
        <w:rPr>
          <w:b/>
          <w:bCs/>
        </w:rPr>
        <w:t>set of prepared SNs changes frequently.</w:t>
      </w:r>
    </w:p>
    <w:p w14:paraId="2688F561" w14:textId="548FED45" w:rsidR="007C3598" w:rsidRDefault="007C3598" w:rsidP="007C3598">
      <w:pPr>
        <w:pStyle w:val="Heading2"/>
      </w:pPr>
      <w:r>
        <w:t>2.3</w:t>
      </w:r>
      <w:r>
        <w:tab/>
      </w:r>
      <w:r w:rsidR="006B29B4">
        <w:t>Decision making</w:t>
      </w:r>
    </w:p>
    <w:p w14:paraId="09A96A80" w14:textId="64EABE74" w:rsidR="007C3598" w:rsidRDefault="00BD26DC" w:rsidP="007C3598">
      <w:r>
        <w:t>As indicated in [1], the selection of the method for the early data forwarding may depend on the scenario for Selective Activation:</w:t>
      </w:r>
    </w:p>
    <w:p w14:paraId="5E411970" w14:textId="77777777" w:rsidR="00BD26DC" w:rsidRDefault="00BD26DC" w:rsidP="00BD26DC">
      <w:pPr>
        <w:pStyle w:val="ListParagraph"/>
        <w:numPr>
          <w:ilvl w:val="0"/>
          <w:numId w:val="41"/>
        </w:numPr>
      </w:pPr>
      <w:r>
        <w:t xml:space="preserve">If the set of nodes prepared for selective activation is updated less often than the serving node changes </w:t>
      </w:r>
      <w:r>
        <w:br/>
      </w:r>
      <w:r>
        <w:rPr>
          <w:rFonts w:ascii="Wingdings" w:eastAsia="Wingdings" w:hAnsi="Wingdings" w:cs="Wingdings"/>
        </w:rPr>
        <w:t>è</w:t>
      </w:r>
      <w:r>
        <w:t xml:space="preserve"> the direct data transmission from the UPF may be optimal;</w:t>
      </w:r>
    </w:p>
    <w:p w14:paraId="0279C145" w14:textId="77777777" w:rsidR="00BD26DC" w:rsidRDefault="00BD26DC" w:rsidP="00BD26DC">
      <w:pPr>
        <w:pStyle w:val="ListParagraph"/>
        <w:numPr>
          <w:ilvl w:val="0"/>
          <w:numId w:val="41"/>
        </w:numPr>
      </w:pPr>
      <w:r>
        <w:t xml:space="preserve">If the serving cell is changed less often than other nodes are cancelled or prepared </w:t>
      </w:r>
      <w:r>
        <w:br/>
      </w:r>
      <w:r>
        <w:rPr>
          <w:rFonts w:ascii="Wingdings" w:eastAsia="Wingdings" w:hAnsi="Wingdings" w:cs="Wingdings"/>
        </w:rPr>
        <w:sym w:font="Wingdings" w:char="F0E8"/>
      </w:r>
      <w:r>
        <w:t xml:space="preserve"> classic early data forwarding from the currently serving node may be optimal.</w:t>
      </w:r>
    </w:p>
    <w:p w14:paraId="1C994368" w14:textId="42DE889C" w:rsidR="00BD26DC" w:rsidRPr="006B29B4" w:rsidRDefault="006B29B4" w:rsidP="007C3598">
      <w:pPr>
        <w:rPr>
          <w:b/>
          <w:bCs/>
          <w:lang w:val="en-US"/>
        </w:rPr>
      </w:pPr>
      <w:r w:rsidRPr="006B29B4">
        <w:rPr>
          <w:b/>
          <w:bCs/>
          <w:lang w:val="en-US"/>
        </w:rPr>
        <w:t>Proposal: Based on the above preliminary analyses, RAN3 shall decide which is more desired solution for the early data forwarding.</w:t>
      </w:r>
    </w:p>
    <w:p w14:paraId="28E42E52" w14:textId="77777777" w:rsidR="000F16C4" w:rsidRPr="000665EA" w:rsidRDefault="00CD2620" w:rsidP="00E00CEF">
      <w:pPr>
        <w:pStyle w:val="Heading1"/>
      </w:pPr>
      <w:r w:rsidRPr="000665EA">
        <w:t>3</w:t>
      </w:r>
      <w:r w:rsidR="000F16C4" w:rsidRPr="000665EA">
        <w:tab/>
      </w:r>
      <w:r w:rsidRPr="000665EA">
        <w:t>Conclusions</w:t>
      </w:r>
    </w:p>
    <w:p w14:paraId="7E95C1BA" w14:textId="3BDBFB3B" w:rsidR="00EA0275" w:rsidRDefault="002F4257" w:rsidP="00D20DF3">
      <w:pPr>
        <w:jc w:val="both"/>
        <w:rPr>
          <w:bCs/>
        </w:rPr>
      </w:pPr>
      <w:r>
        <w:rPr>
          <w:bCs/>
        </w:rPr>
        <w:t xml:space="preserve">In this paper, </w:t>
      </w:r>
      <w:r w:rsidR="00EA0275">
        <w:rPr>
          <w:bCs/>
        </w:rPr>
        <w:t>we consider further details related to the two options for data forwarding in Selective Activation.</w:t>
      </w:r>
    </w:p>
    <w:p w14:paraId="0141DD81" w14:textId="4B3A2E32" w:rsidR="00EA0275" w:rsidRDefault="00EA0275" w:rsidP="00D20DF3">
      <w:pPr>
        <w:jc w:val="both"/>
      </w:pPr>
      <w:r>
        <w:rPr>
          <w:bCs/>
        </w:rPr>
        <w:t xml:space="preserve">For the </w:t>
      </w:r>
      <w:r>
        <w:t>Source-node-based data forwarding, we make following observations:</w:t>
      </w:r>
    </w:p>
    <w:p w14:paraId="553885DF" w14:textId="77777777" w:rsidR="00EA0275" w:rsidRDefault="00EA0275" w:rsidP="00EA0275">
      <w:pPr>
        <w:ind w:left="284"/>
        <w:jc w:val="both"/>
      </w:pPr>
      <w:r>
        <w:t>Observations 2-1: For the source-node-based data forwarding, the MN must keep all the prepared SNs updated in regard to the bearer setups and TEIDs of all other prepared SNs, so that once serving SN changes, early data forwarding may continue.</w:t>
      </w:r>
    </w:p>
    <w:p w14:paraId="7474A090" w14:textId="77777777" w:rsidR="00EA0275" w:rsidRDefault="00EA0275" w:rsidP="00EA0275">
      <w:pPr>
        <w:ind w:left="284"/>
        <w:jc w:val="both"/>
      </w:pPr>
      <w:r>
        <w:t>Observation 2-2: For the source-node-based data forwarding, indirect early data forwarding, where the MN plays the role of an “anchor”, may be simpler, because involved SNs must memorize only MN’s TEIDs.</w:t>
      </w:r>
    </w:p>
    <w:p w14:paraId="120B0C82" w14:textId="3940AB60" w:rsidR="00EA0275" w:rsidRDefault="00EA0275" w:rsidP="00EA0275">
      <w:pPr>
        <w:ind w:left="284"/>
        <w:jc w:val="both"/>
      </w:pPr>
      <w:r>
        <w:lastRenderedPageBreak/>
        <w:t>Observation 2-3: For the source-node-based data forwarding, a classic path switch is needed, which may trigger quite some signalling load at the AMF/UPF, if the SN changes are frequent.</w:t>
      </w:r>
    </w:p>
    <w:p w14:paraId="041802DA" w14:textId="6C6A623F" w:rsidR="00EA0275" w:rsidRDefault="00EA0275" w:rsidP="00D20DF3">
      <w:pPr>
        <w:jc w:val="both"/>
        <w:rPr>
          <w:bCs/>
        </w:rPr>
      </w:pPr>
      <w:r>
        <w:rPr>
          <w:bCs/>
        </w:rPr>
        <w:t xml:space="preserve">While for the </w:t>
      </w:r>
      <w:r w:rsidRPr="00EA0275">
        <w:rPr>
          <w:bCs/>
        </w:rPr>
        <w:t>UPF-based data forwarding</w:t>
      </w:r>
      <w:r>
        <w:rPr>
          <w:bCs/>
        </w:rPr>
        <w:t>, we observe what follows:</w:t>
      </w:r>
    </w:p>
    <w:p w14:paraId="2F1AF486" w14:textId="77777777" w:rsidR="00EA0275" w:rsidRPr="00EA0275" w:rsidRDefault="00EA0275" w:rsidP="00EA0275">
      <w:pPr>
        <w:ind w:left="284"/>
        <w:jc w:val="both"/>
        <w:rPr>
          <w:bCs/>
        </w:rPr>
      </w:pPr>
      <w:r w:rsidRPr="00EA0275">
        <w:rPr>
          <w:bCs/>
        </w:rPr>
        <w:t>Observation 2-1: For UPF-based data forwarding, the AMF/UPF must be aware of all prepared SNs and send data to all of them in parallel. Therefore, existing NGAP procedures must be enhanced, or new procedures defined to inform the AMF about prepared SNs.</w:t>
      </w:r>
    </w:p>
    <w:p w14:paraId="382375BF" w14:textId="77777777" w:rsidR="00EA0275" w:rsidRPr="00EA0275" w:rsidRDefault="00EA0275" w:rsidP="00EA0275">
      <w:pPr>
        <w:ind w:left="284"/>
        <w:jc w:val="both"/>
        <w:rPr>
          <w:bCs/>
        </w:rPr>
      </w:pPr>
      <w:r w:rsidRPr="00EA0275">
        <w:rPr>
          <w:bCs/>
        </w:rPr>
        <w:t>Observation 2-2: For the UPF-based data forwarding, discarding of data delivered at the serving SN requires more attention, because it may need to be based on NG-U PDU numbering, which may have to be matched to the PDCP numbering used in communication with the UE.</w:t>
      </w:r>
    </w:p>
    <w:p w14:paraId="4847FB5B" w14:textId="4368FBA6" w:rsidR="00EA0275" w:rsidRDefault="00EA0275" w:rsidP="00EA0275">
      <w:pPr>
        <w:ind w:left="284"/>
        <w:jc w:val="both"/>
        <w:rPr>
          <w:bCs/>
        </w:rPr>
      </w:pPr>
      <w:r w:rsidRPr="00EA0275">
        <w:rPr>
          <w:bCs/>
        </w:rPr>
        <w:t>Observation 2-3: For the UPF-based data forwarding, the UPF does not have to switch path after each SN change, but it must be informed about a new SN prepared or SN released. Thus, it may cause burden at the AMF/UPF if the set of prepared SNs changes frequently.</w:t>
      </w:r>
    </w:p>
    <w:p w14:paraId="09FE3FC4" w14:textId="26EF1C0E" w:rsidR="00EA0275" w:rsidRDefault="00EA0275" w:rsidP="00D20DF3">
      <w:pPr>
        <w:jc w:val="both"/>
        <w:rPr>
          <w:bCs/>
        </w:rPr>
      </w:pPr>
      <w:r>
        <w:rPr>
          <w:bCs/>
        </w:rPr>
        <w:t xml:space="preserve">Based on this, we propose that </w:t>
      </w:r>
      <w:r w:rsidRPr="006B29B4">
        <w:rPr>
          <w:b/>
          <w:bCs/>
          <w:lang w:val="en-US"/>
        </w:rPr>
        <w:t>RAN3 shall decide which is more desired solution for the early data forwarding.</w:t>
      </w:r>
    </w:p>
    <w:p w14:paraId="483F8717" w14:textId="77777777" w:rsidR="00403B9B" w:rsidRPr="000665EA" w:rsidRDefault="00403B9B" w:rsidP="00403B9B">
      <w:pPr>
        <w:pStyle w:val="Heading1"/>
      </w:pPr>
      <w:r w:rsidRPr="000665EA">
        <w:t>References</w:t>
      </w:r>
    </w:p>
    <w:p w14:paraId="65C3740D" w14:textId="5B346596" w:rsidR="002F4257" w:rsidRPr="000665EA" w:rsidRDefault="004B0A93" w:rsidP="008A3464">
      <w:pPr>
        <w:numPr>
          <w:ilvl w:val="0"/>
          <w:numId w:val="4"/>
        </w:numPr>
        <w:overflowPunct w:val="0"/>
        <w:autoSpaceDE w:val="0"/>
        <w:autoSpaceDN w:val="0"/>
        <w:adjustRightInd w:val="0"/>
        <w:textAlignment w:val="baseline"/>
      </w:pPr>
      <w:r>
        <w:t>R3-225392, RAN3 #117-bis</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80135" w14:textId="77777777" w:rsidR="00143C90" w:rsidRDefault="00143C90">
      <w:r>
        <w:separator/>
      </w:r>
    </w:p>
  </w:endnote>
  <w:endnote w:type="continuationSeparator" w:id="0">
    <w:p w14:paraId="4ACAFFD7" w14:textId="77777777" w:rsidR="00143C90" w:rsidRDefault="00143C90">
      <w:r>
        <w:continuationSeparator/>
      </w:r>
    </w:p>
  </w:endnote>
  <w:endnote w:type="continuationNotice" w:id="1">
    <w:p w14:paraId="04ACEEBA" w14:textId="77777777" w:rsidR="00143C90" w:rsidRDefault="00143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48629" w14:textId="77777777" w:rsidR="00143C90" w:rsidRDefault="00143C90">
      <w:r>
        <w:separator/>
      </w:r>
    </w:p>
  </w:footnote>
  <w:footnote w:type="continuationSeparator" w:id="0">
    <w:p w14:paraId="775AC272" w14:textId="77777777" w:rsidR="00143C90" w:rsidRDefault="00143C90">
      <w:r>
        <w:continuationSeparator/>
      </w:r>
    </w:p>
  </w:footnote>
  <w:footnote w:type="continuationNotice" w:id="1">
    <w:p w14:paraId="5F706BCE" w14:textId="77777777" w:rsidR="00143C90" w:rsidRDefault="00143C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CA5751"/>
    <w:multiLevelType w:val="hybridMultilevel"/>
    <w:tmpl w:val="292CC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13B5FC3"/>
    <w:multiLevelType w:val="hybridMultilevel"/>
    <w:tmpl w:val="0DD4C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31"/>
  </w:num>
  <w:num w:numId="3">
    <w:abstractNumId w:val="15"/>
  </w:num>
  <w:num w:numId="4">
    <w:abstractNumId w:val="9"/>
  </w:num>
  <w:num w:numId="5">
    <w:abstractNumId w:val="10"/>
  </w:num>
  <w:num w:numId="6">
    <w:abstractNumId w:val="39"/>
  </w:num>
  <w:num w:numId="7">
    <w:abstractNumId w:val="26"/>
  </w:num>
  <w:num w:numId="8">
    <w:abstractNumId w:val="16"/>
  </w:num>
  <w:num w:numId="9">
    <w:abstractNumId w:val="38"/>
  </w:num>
  <w:num w:numId="10">
    <w:abstractNumId w:val="25"/>
  </w:num>
  <w:num w:numId="11">
    <w:abstractNumId w:val="14"/>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8"/>
  </w:num>
  <w:num w:numId="26">
    <w:abstractNumId w:val="17"/>
  </w:num>
  <w:num w:numId="27">
    <w:abstractNumId w:val="22"/>
  </w:num>
  <w:num w:numId="28">
    <w:abstractNumId w:val="36"/>
  </w:num>
  <w:num w:numId="29">
    <w:abstractNumId w:val="37"/>
  </w:num>
  <w:num w:numId="30">
    <w:abstractNumId w:val="27"/>
  </w:num>
  <w:num w:numId="31">
    <w:abstractNumId w:val="24"/>
  </w:num>
  <w:num w:numId="32">
    <w:abstractNumId w:val="18"/>
  </w:num>
  <w:num w:numId="33">
    <w:abstractNumId w:val="29"/>
  </w:num>
  <w:num w:numId="34">
    <w:abstractNumId w:val="13"/>
  </w:num>
  <w:num w:numId="35">
    <w:abstractNumId w:val="12"/>
  </w:num>
  <w:num w:numId="36">
    <w:abstractNumId w:val="35"/>
  </w:num>
  <w:num w:numId="37">
    <w:abstractNumId w:val="23"/>
  </w:num>
  <w:num w:numId="38">
    <w:abstractNumId w:val="30"/>
  </w:num>
  <w:num w:numId="39">
    <w:abstractNumId w:val="40"/>
  </w:num>
  <w:num w:numId="40">
    <w:abstractNumId w:val="11"/>
  </w:num>
  <w:num w:numId="41">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2DC8"/>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3C90"/>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088E"/>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2E7A"/>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39E1"/>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4D"/>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275C"/>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0A93"/>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184"/>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2606"/>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4533"/>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192"/>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29B4"/>
    <w:rsid w:val="006B3C66"/>
    <w:rsid w:val="006B3DB0"/>
    <w:rsid w:val="006B4328"/>
    <w:rsid w:val="006B557A"/>
    <w:rsid w:val="006C1888"/>
    <w:rsid w:val="006C3245"/>
    <w:rsid w:val="006C698B"/>
    <w:rsid w:val="006C6AD9"/>
    <w:rsid w:val="006C7A66"/>
    <w:rsid w:val="006C7E8B"/>
    <w:rsid w:val="006D04FE"/>
    <w:rsid w:val="006D183B"/>
    <w:rsid w:val="006D1B5F"/>
    <w:rsid w:val="006D1E24"/>
    <w:rsid w:val="006D231C"/>
    <w:rsid w:val="006D268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3598"/>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005"/>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15B"/>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349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3BA1"/>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6DC"/>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34E"/>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6D4"/>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0275"/>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ACC"/>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194</TotalTime>
  <Pages>3</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Source-node- and UPF-based data forwarding</vt:lpstr>
    </vt:vector>
  </TitlesOfParts>
  <Company>Nokia, Nokia Shanghai Bell</Company>
  <LinksUpToDate>false</LinksUpToDate>
  <CharactersWithSpaces>7590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Source-node- and UPF-based data forwarding</dc:title>
  <dc:subject>3GPP RAN3 #119</dc:subject>
  <dc:creator>Benoist Sébire</dc:creator>
  <cp:keywords>&lt;keyword[, keyword, ]&gt;</cp:keywords>
  <dc:description/>
  <cp:lastModifiedBy>Nokia</cp:lastModifiedBy>
  <cp:revision>56</cp:revision>
  <cp:lastPrinted>2019-03-27T07:16:00Z</cp:lastPrinted>
  <dcterms:created xsi:type="dcterms:W3CDTF">2019-10-03T12:07:00Z</dcterms:created>
  <dcterms:modified xsi:type="dcterms:W3CDTF">2023-02-16T12:05:00Z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